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F9143">
      <w:pPr>
        <w:pStyle w:val="4"/>
        <w:keepNext w:val="0"/>
        <w:keepLines w:val="0"/>
        <w:pageBreakBefore w:val="0"/>
        <w:kinsoku/>
        <w:wordWrap/>
        <w:overflowPunct/>
        <w:topLinePunct w:val="0"/>
        <w:autoSpaceDE/>
        <w:autoSpaceDN/>
        <w:bidi w:val="0"/>
        <w:adjustRightInd/>
        <w:snapToGrid/>
        <w:spacing w:line="560" w:lineRule="exact"/>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附件4</w:t>
      </w:r>
    </w:p>
    <w:p w14:paraId="18035751">
      <w:pPr>
        <w:pStyle w:val="5"/>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color w:val="000000"/>
          <w:sz w:val="32"/>
          <w:szCs w:val="32"/>
          <w:lang w:val="en-US" w:eastAsia="zh-CN"/>
        </w:rPr>
      </w:pPr>
    </w:p>
    <w:p w14:paraId="31FC7BB6">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吉安市科技计划“揭榜挂帅”项目实施办法</w:t>
      </w:r>
    </w:p>
    <w:p w14:paraId="2AFCBDD6">
      <w:pPr>
        <w:spacing w:line="60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（暂行）</w:t>
      </w:r>
    </w:p>
    <w:p w14:paraId="5BE020A8">
      <w:pPr>
        <w:ind w:firstLine="640" w:firstLineChars="200"/>
        <w:jc w:val="center"/>
        <w:rPr>
          <w:rFonts w:ascii="方正仿宋_GBK" w:hAnsi="方正仿宋_GBK" w:eastAsia="方正仿宋_GBK" w:cs="方正仿宋_GBK"/>
          <w:sz w:val="32"/>
          <w:szCs w:val="32"/>
        </w:rPr>
      </w:pPr>
    </w:p>
    <w:p w14:paraId="1C24C579">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方正仿宋_GBK" w:hAnsi="方正仿宋_GBK" w:eastAsia="方正仿宋_GBK" w:cs="方正仿宋_GBK"/>
          <w:sz w:val="32"/>
          <w:szCs w:val="32"/>
        </w:rPr>
      </w:pPr>
      <w:r>
        <w:rPr>
          <w:rFonts w:hint="eastAsia" w:ascii="仿宋_GB2312" w:hAnsi="仿宋_GB2312" w:eastAsia="仿宋_GB2312" w:cs="仿宋_GB2312"/>
          <w:sz w:val="32"/>
          <w:szCs w:val="32"/>
        </w:rPr>
        <w:t>为全面贯彻落实党的二十大和习近平总书记关于加强关键技术攻关的系列讲话精神，充分利用国内外优势科技创新资源推动我市产业关键技术攻关，结合省科技厅有关工作要求，特制定本实施办法。</w:t>
      </w:r>
    </w:p>
    <w:p w14:paraId="0166053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一、目标任务</w:t>
      </w:r>
    </w:p>
    <w:p w14:paraId="748E7C8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化科技创新的核心地位，聚焦产业发展堵点难点，吸引集聚国内外先进技术、高层次科技创新人才及团队资源，组织调动全社会力量协同开展核心关键技术研发攻关，加快突破制约产业发展的重大瓶颈技术、影响产业发展的短缺技术和企业急需的关键核心技术，助推我市产业迈向中高端。</w:t>
      </w:r>
    </w:p>
    <w:p w14:paraId="55053EA4">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二、基本流程</w:t>
      </w:r>
    </w:p>
    <w:p w14:paraId="24FC7591">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技计划“揭榜挂帅”项目一般经过需求征集、技术论证、发榜揭榜、方案论证和中榜审批等基本流程。主要分为企业技术需求类和产业关键共性技术类两大类别。按照成熟一批实施一批，有序组织，滚动实施。原则上每年支持不超过20项。</w:t>
      </w:r>
    </w:p>
    <w:p w14:paraId="5836561E">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方正仿宋_GBK" w:hAnsi="方正仿宋_GBK" w:eastAsia="方正仿宋_GBK" w:cs="方正仿宋_GBK"/>
          <w:sz w:val="32"/>
          <w:szCs w:val="32"/>
          <w:u w:val="single"/>
        </w:rPr>
      </w:pPr>
      <w:r>
        <w:rPr>
          <w:rFonts w:hint="eastAsia" w:ascii="仿宋_GB2312" w:hAnsi="仿宋_GB2312" w:eastAsia="仿宋_GB2312" w:cs="仿宋_GB2312"/>
          <w:sz w:val="32"/>
          <w:szCs w:val="32"/>
        </w:rPr>
        <w:t>科技计划专项资金对“揭榜挂帅”项目采取后补助形式予以支持。项目实施周期一般为3年；同一项目已获市级以上科技经费支持的，不得申报“揭榜挂帅”项目。</w:t>
      </w:r>
    </w:p>
    <w:p w14:paraId="2DA7AF32">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三、申报与立项</w:t>
      </w:r>
    </w:p>
    <w:p w14:paraId="348FA2CB">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1.需求征集</w:t>
      </w:r>
    </w:p>
    <w:p w14:paraId="195BF120">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jc w:val="both"/>
        <w:rPr>
          <w:rFonts w:ascii="Times New Roman" w:hAnsi="Times New Roman" w:eastAsia="仿宋_GB2312"/>
          <w:color w:val="000000"/>
          <w:sz w:val="32"/>
          <w:szCs w:val="32"/>
        </w:rPr>
      </w:pPr>
      <w:r>
        <w:rPr>
          <w:rFonts w:hint="eastAsia" w:ascii="Times New Roman" w:hAnsi="Times New Roman" w:eastAsia="仿宋_GB2312"/>
          <w:b/>
          <w:bCs/>
          <w:color w:val="000000"/>
          <w:sz w:val="32"/>
          <w:szCs w:val="32"/>
        </w:rPr>
        <w:t>企业技术需求类：</w:t>
      </w:r>
      <w:r>
        <w:rPr>
          <w:rFonts w:hint="eastAsia" w:ascii="Times New Roman" w:hAnsi="Times New Roman" w:eastAsia="仿宋_GB2312"/>
          <w:color w:val="000000"/>
          <w:sz w:val="32"/>
          <w:szCs w:val="32"/>
        </w:rPr>
        <w:t>市科技局公开发布征集通知，</w:t>
      </w:r>
      <w:r>
        <w:rPr>
          <w:rFonts w:ascii="Times New Roman" w:hAnsi="Times New Roman" w:eastAsia="仿宋_GB2312"/>
          <w:color w:val="000000"/>
          <w:sz w:val="32"/>
          <w:szCs w:val="32"/>
        </w:rPr>
        <w:t>需求</w:t>
      </w:r>
      <w:r>
        <w:rPr>
          <w:rFonts w:hint="eastAsia" w:ascii="Times New Roman" w:hAnsi="Times New Roman" w:eastAsia="仿宋_GB2312"/>
          <w:color w:val="000000"/>
          <w:sz w:val="32"/>
          <w:szCs w:val="32"/>
        </w:rPr>
        <w:t>企业</w:t>
      </w:r>
      <w:r>
        <w:rPr>
          <w:rFonts w:ascii="Times New Roman" w:hAnsi="Times New Roman" w:eastAsia="仿宋_GB2312"/>
          <w:color w:val="000000"/>
          <w:sz w:val="32"/>
          <w:szCs w:val="32"/>
        </w:rPr>
        <w:t>按要求</w:t>
      </w:r>
      <w:r>
        <w:rPr>
          <w:rFonts w:hint="eastAsia" w:ascii="Times New Roman" w:hAnsi="Times New Roman" w:eastAsia="仿宋_GB2312"/>
          <w:color w:val="000000"/>
          <w:sz w:val="32"/>
          <w:szCs w:val="32"/>
        </w:rPr>
        <w:t>提</w:t>
      </w:r>
      <w:r>
        <w:rPr>
          <w:rFonts w:ascii="Times New Roman" w:hAnsi="Times New Roman" w:eastAsia="仿宋_GB2312"/>
          <w:color w:val="000000"/>
          <w:sz w:val="32"/>
          <w:szCs w:val="32"/>
        </w:rPr>
        <w:t>报《“揭榜挂帅”企业重大技术需求征集表》</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经所属</w:t>
      </w:r>
      <w:r>
        <w:rPr>
          <w:rFonts w:hint="eastAsia" w:ascii="Times New Roman" w:hAnsi="Times New Roman" w:eastAsia="仿宋_GB2312"/>
          <w:color w:val="000000"/>
          <w:sz w:val="32"/>
          <w:szCs w:val="32"/>
        </w:rPr>
        <w:t>园区和科技</w:t>
      </w:r>
      <w:r>
        <w:rPr>
          <w:rFonts w:ascii="Times New Roman" w:hAnsi="Times New Roman" w:eastAsia="仿宋_GB2312"/>
          <w:color w:val="000000"/>
          <w:sz w:val="32"/>
          <w:szCs w:val="32"/>
        </w:rPr>
        <w:t>主管部门</w:t>
      </w:r>
      <w:r>
        <w:rPr>
          <w:rFonts w:hint="eastAsia" w:ascii="Times New Roman" w:hAnsi="Times New Roman" w:eastAsia="仿宋_GB2312"/>
          <w:color w:val="000000"/>
          <w:sz w:val="32"/>
          <w:szCs w:val="32"/>
        </w:rPr>
        <w:t>联合</w:t>
      </w:r>
      <w:r>
        <w:rPr>
          <w:rFonts w:ascii="Times New Roman" w:hAnsi="Times New Roman" w:eastAsia="仿宋_GB2312"/>
          <w:color w:val="000000"/>
          <w:sz w:val="32"/>
          <w:szCs w:val="32"/>
        </w:rPr>
        <w:t>审核通过后，由其</w:t>
      </w:r>
      <w:r>
        <w:rPr>
          <w:rFonts w:hint="eastAsia" w:ascii="Times New Roman" w:hAnsi="Times New Roman" w:eastAsia="仿宋_GB2312"/>
          <w:color w:val="000000"/>
          <w:sz w:val="32"/>
          <w:szCs w:val="32"/>
        </w:rPr>
        <w:t>科技</w:t>
      </w:r>
      <w:r>
        <w:rPr>
          <w:rFonts w:ascii="Times New Roman" w:hAnsi="Times New Roman" w:eastAsia="仿宋_GB2312"/>
          <w:color w:val="000000"/>
          <w:sz w:val="32"/>
          <w:szCs w:val="32"/>
        </w:rPr>
        <w:t>主管部门汇总报至</w:t>
      </w:r>
      <w:r>
        <w:rPr>
          <w:rFonts w:hint="eastAsia" w:ascii="Times New Roman" w:hAnsi="Times New Roman" w:eastAsia="仿宋_GB2312"/>
          <w:color w:val="000000"/>
          <w:sz w:val="32"/>
          <w:szCs w:val="32"/>
        </w:rPr>
        <w:t>市</w:t>
      </w:r>
      <w:r>
        <w:rPr>
          <w:rFonts w:ascii="Times New Roman" w:hAnsi="Times New Roman" w:eastAsia="仿宋_GB2312"/>
          <w:color w:val="000000"/>
          <w:sz w:val="32"/>
          <w:szCs w:val="32"/>
        </w:rPr>
        <w:t>科技</w:t>
      </w:r>
      <w:r>
        <w:rPr>
          <w:rFonts w:hint="eastAsia" w:ascii="Times New Roman" w:hAnsi="Times New Roman" w:eastAsia="仿宋_GB2312"/>
          <w:color w:val="000000"/>
          <w:sz w:val="32"/>
          <w:szCs w:val="32"/>
        </w:rPr>
        <w:t>局</w:t>
      </w:r>
      <w:r>
        <w:rPr>
          <w:rFonts w:ascii="Times New Roman" w:hAnsi="Times New Roman" w:eastAsia="仿宋_GB2312"/>
          <w:color w:val="000000"/>
          <w:sz w:val="32"/>
          <w:szCs w:val="32"/>
        </w:rPr>
        <w:t>（相关材料均须加盖单位公章）。</w:t>
      </w:r>
    </w:p>
    <w:p w14:paraId="5F6AEFB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提出技术需求的企业，一般应具备以下条件：</w:t>
      </w:r>
    </w:p>
    <w:p w14:paraId="0351882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（1）具备良好的社会信用，三年之内无违背科研诚信的行为记录或应实施联合惩戒的社会失信行为记录；</w:t>
      </w:r>
    </w:p>
    <w:p w14:paraId="3F5C6E3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（2）上一年度研发投入一般不低于</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rPr>
        <w:t>万元，税收不低于</w:t>
      </w:r>
      <w:r>
        <w:rPr>
          <w:rFonts w:hint="eastAsia" w:ascii="仿宋_GB2312" w:hAnsi="仿宋_GB2312" w:eastAsia="仿宋_GB2312" w:cs="仿宋_GB2312"/>
          <w:sz w:val="32"/>
          <w:szCs w:val="32"/>
          <w:lang w:val="en-US" w:eastAsia="zh-CN"/>
        </w:rPr>
        <w:t>600</w:t>
      </w:r>
      <w:r>
        <w:rPr>
          <w:rFonts w:hint="eastAsia" w:ascii="仿宋_GB2312" w:hAnsi="仿宋_GB2312" w:eastAsia="仿宋_GB2312" w:cs="仿宋_GB2312"/>
          <w:sz w:val="32"/>
          <w:szCs w:val="32"/>
        </w:rPr>
        <w:t>万元。</w:t>
      </w:r>
    </w:p>
    <w:p w14:paraId="64999C5F">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（3）需求内容应聚焦企业发展的重大技术难题，项目实施能够显著提升企业的核心竞争力，带动企业及相关产业技术水平较大提升。</w:t>
      </w:r>
    </w:p>
    <w:p w14:paraId="5995892C">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（4）须承诺并有能力保障项目的投入，提供项目研发的资金、人员、地点、设备等基本条件。</w:t>
      </w:r>
    </w:p>
    <w:p w14:paraId="22BA8A54">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（5）需求内容应明确指标参数、时限要求、产权归属、资金投入及其他对揭榜方的条件要求等，相关需求内容应该清晰可考核。</w:t>
      </w:r>
    </w:p>
    <w:p w14:paraId="1A943767">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sz w:val="32"/>
          <w:szCs w:val="32"/>
        </w:rPr>
        <w:t>（6）企业在研的市本级科技计划重大专项（含“揭榜挂帅”项目）不超过2项。</w:t>
      </w:r>
    </w:p>
    <w:p w14:paraId="2A3B8187">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产业关键共性技术类：</w:t>
      </w:r>
      <w:r>
        <w:rPr>
          <w:rFonts w:hint="eastAsia" w:ascii="仿宋_GB2312" w:hAnsi="仿宋_GB2312" w:eastAsia="仿宋_GB2312" w:cs="仿宋_GB2312"/>
          <w:color w:val="000000"/>
          <w:sz w:val="32"/>
          <w:szCs w:val="32"/>
        </w:rPr>
        <w:t>由市直行业主管部门（含产业链牵头责任单位）或市科技专家委员会根据我市产业发展实际，收集整理产业关键共性技术需求，经初步比选论证，凝炼梳理提出制约产业发展的关键共性技术选题，汇总报市科技局（相关材料须加盖单位公章）。</w:t>
      </w:r>
    </w:p>
    <w:p w14:paraId="513AA53C">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产业关键共性技术类需求申报，一般应陈述说明市内至少3家以上企业（含3家）有同一技术攻关的需求，同时应协调落实3家相关企业作为该项目技术攻关的</w:t>
      </w:r>
      <w:r>
        <w:rPr>
          <w:rFonts w:hint="eastAsia" w:ascii="仿宋_GB2312" w:hAnsi="仿宋_GB2312" w:eastAsia="仿宋_GB2312" w:cs="仿宋_GB2312"/>
          <w:color w:val="000000"/>
          <w:sz w:val="32"/>
          <w:szCs w:val="32"/>
          <w:lang w:eastAsia="zh-CN"/>
        </w:rPr>
        <w:t>依托</w:t>
      </w:r>
      <w:r>
        <w:rPr>
          <w:rFonts w:hint="eastAsia" w:ascii="仿宋_GB2312" w:hAnsi="仿宋_GB2312" w:eastAsia="仿宋_GB2312" w:cs="仿宋_GB2312"/>
          <w:color w:val="000000"/>
          <w:sz w:val="32"/>
          <w:szCs w:val="32"/>
        </w:rPr>
        <w:t>单位。</w:t>
      </w:r>
    </w:p>
    <w:p w14:paraId="6AD9D2B0">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2.论证张榜</w:t>
      </w:r>
    </w:p>
    <w:p w14:paraId="0A8F5B0D">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rPr>
          <w:rFonts w:ascii="Times New Roman" w:hAnsi="Times New Roman" w:eastAsia="仿宋_GB2312"/>
          <w:color w:val="000000"/>
          <w:spacing w:val="-11"/>
          <w:sz w:val="32"/>
          <w:szCs w:val="32"/>
        </w:rPr>
      </w:pPr>
      <w:r>
        <w:rPr>
          <w:rFonts w:hint="eastAsia" w:ascii="Times New Roman" w:hAnsi="Times New Roman" w:eastAsia="仿宋_GB2312"/>
          <w:color w:val="000000"/>
          <w:sz w:val="32"/>
          <w:szCs w:val="32"/>
        </w:rPr>
        <w:t>市</w:t>
      </w:r>
      <w:r>
        <w:rPr>
          <w:rFonts w:ascii="Times New Roman" w:hAnsi="Times New Roman" w:eastAsia="仿宋_GB2312"/>
          <w:color w:val="000000"/>
          <w:sz w:val="32"/>
          <w:szCs w:val="32"/>
        </w:rPr>
        <w:t>科技</w:t>
      </w:r>
      <w:r>
        <w:rPr>
          <w:rFonts w:hint="eastAsia" w:ascii="Times New Roman" w:hAnsi="Times New Roman" w:eastAsia="仿宋_GB2312"/>
          <w:color w:val="000000"/>
          <w:sz w:val="32"/>
          <w:szCs w:val="32"/>
        </w:rPr>
        <w:t>局在开展形式审查的基础上，及时</w:t>
      </w:r>
      <w:r>
        <w:rPr>
          <w:rFonts w:ascii="Times New Roman" w:hAnsi="Times New Roman" w:eastAsia="仿宋_GB2312"/>
          <w:color w:val="000000"/>
          <w:sz w:val="32"/>
          <w:szCs w:val="32"/>
        </w:rPr>
        <w:t>组织行业专家（或委托第三方专业机构）对</w:t>
      </w:r>
      <w:r>
        <w:rPr>
          <w:rFonts w:hint="eastAsia" w:ascii="Times New Roman" w:hAnsi="Times New Roman" w:eastAsia="仿宋_GB2312"/>
          <w:color w:val="000000"/>
          <w:sz w:val="32"/>
          <w:szCs w:val="32"/>
        </w:rPr>
        <w:t>企业技术</w:t>
      </w:r>
      <w:r>
        <w:rPr>
          <w:rFonts w:ascii="Times New Roman" w:hAnsi="Times New Roman" w:eastAsia="仿宋_GB2312"/>
          <w:color w:val="000000"/>
          <w:sz w:val="32"/>
          <w:szCs w:val="32"/>
        </w:rPr>
        <w:t>需求</w:t>
      </w:r>
      <w:r>
        <w:rPr>
          <w:rFonts w:hint="eastAsia" w:ascii="Times New Roman" w:hAnsi="Times New Roman" w:eastAsia="仿宋_GB2312"/>
          <w:color w:val="000000"/>
          <w:sz w:val="32"/>
          <w:szCs w:val="32"/>
        </w:rPr>
        <w:t>和关键共性技术需求选题</w:t>
      </w:r>
      <w:r>
        <w:rPr>
          <w:rFonts w:ascii="Times New Roman" w:hAnsi="Times New Roman" w:eastAsia="仿宋_GB2312"/>
          <w:color w:val="000000"/>
          <w:sz w:val="32"/>
          <w:szCs w:val="32"/>
        </w:rPr>
        <w:t>进行</w:t>
      </w:r>
      <w:r>
        <w:rPr>
          <w:rFonts w:hint="eastAsia" w:ascii="Times New Roman" w:hAnsi="Times New Roman" w:eastAsia="仿宋_GB2312"/>
          <w:color w:val="000000"/>
          <w:sz w:val="32"/>
          <w:szCs w:val="32"/>
        </w:rPr>
        <w:t>技术经济</w:t>
      </w:r>
      <w:r>
        <w:rPr>
          <w:rFonts w:ascii="Times New Roman" w:hAnsi="Times New Roman" w:eastAsia="仿宋_GB2312"/>
          <w:color w:val="000000"/>
          <w:sz w:val="32"/>
          <w:szCs w:val="32"/>
        </w:rPr>
        <w:t>论证，遴选出影响力大、带动性强、应用面广的</w:t>
      </w:r>
      <w:r>
        <w:rPr>
          <w:rFonts w:hint="eastAsia" w:ascii="Times New Roman" w:hAnsi="Times New Roman" w:eastAsia="仿宋_GB2312"/>
          <w:color w:val="000000"/>
          <w:sz w:val="32"/>
          <w:szCs w:val="32"/>
        </w:rPr>
        <w:t>“揭榜挂帅”项目。技术经济论证应形成明确的专家意见。</w:t>
      </w:r>
    </w:p>
    <w:p w14:paraId="4E43F4BB">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rPr>
          <w:rFonts w:ascii="方正仿宋_GBK" w:hAnsi="方正仿宋_GBK" w:eastAsia="方正仿宋_GBK" w:cs="方正仿宋_GBK"/>
          <w:kern w:val="2"/>
          <w:sz w:val="32"/>
          <w:szCs w:val="32"/>
        </w:rPr>
      </w:pPr>
      <w:r>
        <w:rPr>
          <w:rFonts w:hint="eastAsia" w:ascii="方正仿宋_GBK" w:hAnsi="方正仿宋_GBK" w:eastAsia="方正仿宋_GBK" w:cs="方正仿宋_GBK"/>
          <w:kern w:val="2"/>
          <w:sz w:val="32"/>
          <w:szCs w:val="32"/>
        </w:rPr>
        <w:t>论证完成后，市科技局应研究提出项目立项意见，按程序</w:t>
      </w:r>
      <w:r>
        <w:rPr>
          <w:rFonts w:hint="eastAsia" w:ascii="Times New Roman" w:hAnsi="Times New Roman" w:eastAsia="仿宋_GB2312"/>
          <w:color w:val="000000"/>
          <w:spacing w:val="-11"/>
          <w:sz w:val="32"/>
          <w:szCs w:val="32"/>
        </w:rPr>
        <w:t>报市政府审定</w:t>
      </w:r>
      <w:r>
        <w:rPr>
          <w:rFonts w:ascii="Times New Roman" w:hAnsi="Times New Roman" w:eastAsia="仿宋_GB2312"/>
          <w:color w:val="000000"/>
          <w:spacing w:val="-11"/>
          <w:sz w:val="32"/>
          <w:szCs w:val="32"/>
        </w:rPr>
        <w:t>后</w:t>
      </w:r>
      <w:r>
        <w:rPr>
          <w:rFonts w:hint="eastAsia" w:ascii="Times New Roman" w:hAnsi="Times New Roman" w:eastAsia="仿宋_GB2312"/>
          <w:color w:val="000000"/>
          <w:spacing w:val="-11"/>
          <w:sz w:val="32"/>
          <w:szCs w:val="32"/>
        </w:rPr>
        <w:t>，</w:t>
      </w:r>
      <w:r>
        <w:rPr>
          <w:rFonts w:ascii="Times New Roman" w:hAnsi="Times New Roman" w:eastAsia="仿宋_GB2312"/>
          <w:color w:val="000000"/>
          <w:spacing w:val="-11"/>
          <w:sz w:val="32"/>
          <w:szCs w:val="32"/>
        </w:rPr>
        <w:t>向社会公开张榜发布</w:t>
      </w:r>
      <w:r>
        <w:rPr>
          <w:rFonts w:hint="eastAsia" w:ascii="Times New Roman" w:hAnsi="Times New Roman" w:eastAsia="仿宋_GB2312"/>
          <w:color w:val="000000"/>
          <w:spacing w:val="-11"/>
          <w:sz w:val="32"/>
          <w:szCs w:val="32"/>
        </w:rPr>
        <w:t>，</w:t>
      </w:r>
      <w:r>
        <w:rPr>
          <w:rFonts w:hint="eastAsia" w:ascii="方正仿宋_GBK" w:hAnsi="方正仿宋_GBK" w:eastAsia="方正仿宋_GBK" w:cs="方正仿宋_GBK"/>
          <w:kern w:val="2"/>
          <w:sz w:val="32"/>
          <w:szCs w:val="32"/>
        </w:rPr>
        <w:t>面向全国公开征集揭榜方。</w:t>
      </w:r>
    </w:p>
    <w:p w14:paraId="195D2DAC">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3.对接揭榜</w:t>
      </w:r>
    </w:p>
    <w:p w14:paraId="06AF9B0A">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rPr>
          <w:rFonts w:hint="eastAsia" w:ascii="仿宋_GB2312" w:hAnsi="仿宋_GB2312" w:eastAsia="仿宋_GB2312" w:cs="仿宋_GB2312"/>
          <w:color w:val="000000"/>
          <w:sz w:val="32"/>
          <w:szCs w:val="32"/>
        </w:rPr>
      </w:pPr>
      <w:r>
        <w:rPr>
          <w:rFonts w:hint="eastAsia" w:ascii="Times New Roman" w:hAnsi="Times New Roman" w:eastAsia="仿宋_GB2312"/>
          <w:color w:val="000000"/>
          <w:sz w:val="32"/>
          <w:szCs w:val="32"/>
        </w:rPr>
        <w:t>遵照项目张榜发布有关约定，</w:t>
      </w:r>
      <w:r>
        <w:rPr>
          <w:rFonts w:ascii="Times New Roman" w:hAnsi="Times New Roman" w:eastAsia="仿宋_GB2312"/>
          <w:color w:val="000000"/>
          <w:sz w:val="32"/>
          <w:szCs w:val="32"/>
        </w:rPr>
        <w:t>揭榜方</w:t>
      </w:r>
      <w:r>
        <w:rPr>
          <w:rFonts w:hint="eastAsia" w:ascii="Times New Roman" w:hAnsi="Times New Roman" w:eastAsia="仿宋_GB2312"/>
          <w:color w:val="000000"/>
          <w:sz w:val="32"/>
          <w:szCs w:val="32"/>
        </w:rPr>
        <w:t>应</w:t>
      </w:r>
      <w:r>
        <w:rPr>
          <w:rFonts w:ascii="Times New Roman" w:hAnsi="Times New Roman" w:eastAsia="仿宋_GB2312"/>
          <w:color w:val="000000"/>
          <w:sz w:val="32"/>
          <w:szCs w:val="32"/>
        </w:rPr>
        <w:t>主动与需求</w:t>
      </w:r>
      <w:r>
        <w:rPr>
          <w:rFonts w:hint="eastAsia" w:ascii="Times New Roman" w:hAnsi="Times New Roman" w:eastAsia="仿宋_GB2312"/>
          <w:color w:val="000000"/>
          <w:sz w:val="32"/>
          <w:szCs w:val="32"/>
        </w:rPr>
        <w:t>企业（依托单位）进行对接，</w:t>
      </w:r>
      <w:r>
        <w:rPr>
          <w:rFonts w:ascii="Times New Roman" w:hAnsi="Times New Roman" w:eastAsia="仿宋_GB2312"/>
          <w:color w:val="000000"/>
          <w:sz w:val="32"/>
          <w:szCs w:val="32"/>
        </w:rPr>
        <w:t>细化落实相关具体内容，</w:t>
      </w:r>
      <w:r>
        <w:rPr>
          <w:rFonts w:hint="eastAsia" w:ascii="Times New Roman" w:hAnsi="Times New Roman" w:eastAsia="仿宋_GB2312"/>
          <w:color w:val="000000"/>
          <w:sz w:val="32"/>
          <w:szCs w:val="32"/>
        </w:rPr>
        <w:t>提报技术路线清晰、时间节点清晰、成果目标明确的揭榜方案</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属产业关键共性技术类的张榜项目，应明确1家依托单位作为牵头单位，代表共性技术需求方负责与揭榜方进行对接。</w:t>
      </w:r>
      <w:r>
        <w:rPr>
          <w:rFonts w:hint="eastAsia" w:ascii="Times New Roman" w:hAnsi="Times New Roman" w:eastAsia="仿宋_GB2312"/>
          <w:color w:val="000000"/>
          <w:sz w:val="32"/>
          <w:szCs w:val="32"/>
          <w:lang w:eastAsia="zh-CN"/>
        </w:rPr>
        <w:t>需求企业或</w:t>
      </w:r>
      <w:r>
        <w:rPr>
          <w:rFonts w:hint="eastAsia" w:ascii="Times New Roman" w:hAnsi="Times New Roman" w:eastAsia="仿宋_GB2312"/>
          <w:color w:val="000000"/>
          <w:sz w:val="32"/>
          <w:szCs w:val="32"/>
        </w:rPr>
        <w:t>依托单位（共性技术需求方可联合2-3家企业）必须</w:t>
      </w:r>
      <w:r>
        <w:rPr>
          <w:rFonts w:ascii="Times New Roman" w:hAnsi="Times New Roman" w:eastAsia="仿宋_GB2312"/>
          <w:color w:val="000000"/>
          <w:sz w:val="32"/>
          <w:szCs w:val="32"/>
        </w:rPr>
        <w:t>能够提供成果转化所需的专业人员、资金、场地等配套条件。</w:t>
      </w:r>
      <w:r>
        <w:rPr>
          <w:rFonts w:hint="eastAsia" w:ascii="Times New Roman" w:hAnsi="Times New Roman" w:eastAsia="仿宋_GB2312"/>
          <w:color w:val="000000"/>
          <w:sz w:val="32"/>
          <w:szCs w:val="32"/>
        </w:rPr>
        <w:t>揭榜方为</w:t>
      </w:r>
      <w:r>
        <w:rPr>
          <w:rFonts w:ascii="Times New Roman" w:hAnsi="Times New Roman" w:eastAsia="仿宋_GB2312"/>
          <w:color w:val="000000"/>
          <w:sz w:val="32"/>
          <w:szCs w:val="32"/>
        </w:rPr>
        <w:t>联合揭榜的，</w:t>
      </w:r>
      <w:r>
        <w:rPr>
          <w:rFonts w:hint="eastAsia" w:ascii="Times New Roman" w:hAnsi="Times New Roman" w:eastAsia="仿宋_GB2312"/>
          <w:color w:val="000000"/>
          <w:sz w:val="32"/>
          <w:szCs w:val="32"/>
        </w:rPr>
        <w:t>参与</w:t>
      </w:r>
      <w:r>
        <w:rPr>
          <w:rFonts w:ascii="Times New Roman" w:hAnsi="Times New Roman" w:eastAsia="仿宋_GB2312"/>
          <w:color w:val="000000"/>
          <w:sz w:val="32"/>
          <w:szCs w:val="32"/>
        </w:rPr>
        <w:t>各方须签订合作协议，明确责任和权利，作为揭榜申请材料</w:t>
      </w:r>
      <w:r>
        <w:rPr>
          <w:rFonts w:hint="eastAsia" w:ascii="Times New Roman" w:hAnsi="Times New Roman" w:eastAsia="仿宋_GB2312"/>
          <w:color w:val="000000"/>
          <w:sz w:val="32"/>
          <w:szCs w:val="32"/>
        </w:rPr>
        <w:t>附件一并</w:t>
      </w:r>
      <w:r>
        <w:rPr>
          <w:rFonts w:hint="eastAsia" w:ascii="仿宋_GB2312" w:hAnsi="仿宋_GB2312" w:eastAsia="仿宋_GB2312" w:cs="仿宋_GB2312"/>
          <w:color w:val="000000"/>
          <w:sz w:val="32"/>
          <w:szCs w:val="32"/>
        </w:rPr>
        <w:t>提交。</w:t>
      </w:r>
    </w:p>
    <w:p w14:paraId="26A7A7C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揭榜方一般应为市内外具有较强研发能力的高校、科研院所、企业、新型研发机构等法人单位，且具备以下条件：</w:t>
      </w:r>
    </w:p>
    <w:p w14:paraId="496B9B34">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（1）具有良好的科研道德和社会诚信，三年内无违背科研诚信的行为记录或应实施联合惩戒的社会失信行为记录；</w:t>
      </w:r>
    </w:p>
    <w:p w14:paraId="10C25CB7">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（2）具有较强的研发实力、科研条件和人才团队力量等，有能力完成发榜方提出的任务需求；</w:t>
      </w:r>
    </w:p>
    <w:p w14:paraId="5770654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（3）能提供攻克核心关键技术的可行方案，且掌握支撑该项目研发的自主知识产权；</w:t>
      </w:r>
    </w:p>
    <w:p w14:paraId="2E9D529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（4）承诺项目取得的成果优先在本地进行转移转化；</w:t>
      </w:r>
    </w:p>
    <w:p w14:paraId="1F3E760E">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（5）技术需求企业</w:t>
      </w:r>
      <w:r>
        <w:rPr>
          <w:rFonts w:hint="eastAsia" w:ascii="仿宋_GB2312" w:hAnsi="仿宋_GB2312" w:eastAsia="仿宋_GB2312" w:cs="仿宋_GB2312"/>
          <w:sz w:val="32"/>
          <w:szCs w:val="32"/>
          <w:lang w:eastAsia="zh-CN"/>
        </w:rPr>
        <w:t>（依托单位）</w:t>
      </w:r>
      <w:r>
        <w:rPr>
          <w:rFonts w:hint="eastAsia" w:ascii="仿宋_GB2312" w:hAnsi="仿宋_GB2312" w:eastAsia="仿宋_GB2312" w:cs="仿宋_GB2312"/>
          <w:sz w:val="32"/>
          <w:szCs w:val="32"/>
        </w:rPr>
        <w:t>不得作为揭榜方。</w:t>
      </w:r>
    </w:p>
    <w:p w14:paraId="564C9879">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sz w:val="32"/>
          <w:szCs w:val="32"/>
        </w:rPr>
        <w:t>对</w:t>
      </w:r>
      <w:r>
        <w:rPr>
          <w:rFonts w:hint="eastAsia" w:ascii="仿宋_GB2312" w:hAnsi="仿宋_GB2312" w:eastAsia="仿宋_GB2312" w:cs="仿宋_GB2312"/>
          <w:color w:val="000000"/>
          <w:sz w:val="32"/>
          <w:szCs w:val="32"/>
        </w:rPr>
        <w:t>接揭榜时间截止后，市科技局组织专家（或委托第三方专业机构）对揭榜方的资质条件、揭榜方案可行性等进行论证，并根据专家论证意见提出揭榜方案评价意见。如有两家以上单位提交揭榜方案，专家评价组应给出方案优劣的比选排序意见。</w:t>
      </w:r>
    </w:p>
    <w:p w14:paraId="162F37E2">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b w:val="0"/>
          <w:bCs w:val="0"/>
          <w:color w:val="000000"/>
          <w:kern w:val="0"/>
          <w:sz w:val="32"/>
          <w:szCs w:val="32"/>
          <w:lang w:val="en-US" w:eastAsia="zh-CN" w:bidi="ar-SA"/>
        </w:rPr>
        <w:t>4.中榜审批。</w:t>
      </w:r>
      <w:r>
        <w:rPr>
          <w:rFonts w:hint="eastAsia" w:ascii="仿宋_GB2312" w:hAnsi="仿宋_GB2312" w:eastAsia="仿宋_GB2312" w:cs="仿宋_GB2312"/>
          <w:color w:val="000000"/>
          <w:kern w:val="0"/>
          <w:sz w:val="32"/>
          <w:szCs w:val="32"/>
          <w:lang w:bidi="ar"/>
        </w:rPr>
        <w:t>市科技局在专家评价意见的基础上，研究提出拟中榜名单，按程序报市政府审定后向全社会公示。公示</w:t>
      </w:r>
      <w:r>
        <w:rPr>
          <w:rFonts w:hint="eastAsia" w:ascii="仿宋_GB2312" w:hAnsi="仿宋_GB2312" w:eastAsia="仿宋_GB2312" w:cs="仿宋_GB2312"/>
          <w:sz w:val="32"/>
          <w:szCs w:val="32"/>
        </w:rPr>
        <w:t>无异议后，由需求方（依托单位）、揭榜方、市科技局共同签订三方协议，规范各方职责。</w:t>
      </w:r>
    </w:p>
    <w:p w14:paraId="13A0D12F">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rPr>
        <w:t>四、支持强度</w:t>
      </w:r>
      <w:r>
        <w:rPr>
          <w:rFonts w:hint="eastAsia" w:ascii="黑体" w:hAnsi="黑体" w:eastAsia="黑体" w:cs="黑体"/>
          <w:sz w:val="32"/>
          <w:szCs w:val="32"/>
          <w:lang w:eastAsia="zh-CN"/>
        </w:rPr>
        <w:t>及资金拨付方式</w:t>
      </w:r>
    </w:p>
    <w:p w14:paraId="502F493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b w:val="0"/>
          <w:bCs w:val="0"/>
          <w:color w:val="000000"/>
          <w:kern w:val="0"/>
          <w:sz w:val="32"/>
          <w:szCs w:val="32"/>
          <w:lang w:bidi="ar"/>
        </w:rPr>
        <w:t>企业技术需求类：</w:t>
      </w:r>
      <w:r>
        <w:rPr>
          <w:rFonts w:hint="eastAsia" w:ascii="仿宋_GB2312" w:hAnsi="仿宋_GB2312" w:eastAsia="仿宋_GB2312" w:cs="仿宋_GB2312"/>
          <w:color w:val="000000"/>
          <w:kern w:val="0"/>
          <w:sz w:val="32"/>
          <w:szCs w:val="32"/>
          <w:lang w:bidi="ar"/>
        </w:rPr>
        <w:t>市科技计划专项资金按需求企业实际投入研发经费总额的30%的比例进行核定补助，最高不超过300万元。财政补助资金一般应按程序拨付给需求企业，再由需求企业按三方协议约定拨付给揭榜方。具</w:t>
      </w:r>
      <w:r>
        <w:rPr>
          <w:rFonts w:hint="eastAsia" w:ascii="仿宋_GB2312" w:hAnsi="仿宋_GB2312" w:eastAsia="仿宋_GB2312" w:cs="仿宋_GB2312"/>
          <w:sz w:val="32"/>
          <w:szCs w:val="32"/>
        </w:rPr>
        <w:t>体分三个批次拨付；一是三方协议签订生效后，按项目立项约定拨付财政应补助资金的40%；二是中期评估完成后，按项目立项约定拨付财政应补助资金的20%；三是项目验收合格后，按验收审核企业实际投入研发经费总额的30%核算</w:t>
      </w:r>
      <w:r>
        <w:rPr>
          <w:rFonts w:hint="eastAsia" w:ascii="仿宋_GB2312" w:hAnsi="仿宋_GB2312" w:eastAsia="仿宋_GB2312" w:cs="仿宋_GB2312"/>
          <w:sz w:val="32"/>
          <w:szCs w:val="32"/>
          <w:lang w:eastAsia="zh-CN"/>
        </w:rPr>
        <w:t>，拨付最后一个批次的财政补助资金（最高不得超过</w:t>
      </w:r>
      <w:r>
        <w:rPr>
          <w:rFonts w:hint="eastAsia" w:ascii="仿宋_GB2312" w:hAnsi="仿宋_GB2312" w:eastAsia="仿宋_GB2312" w:cs="仿宋_GB2312"/>
          <w:sz w:val="32"/>
          <w:szCs w:val="32"/>
        </w:rPr>
        <w:t>项目立项约定拨付财政应补助资金的</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同时明确，需求企业在本项目研发过程中支付给揭榜方的资金总额应不得少于财政后补助资金总额，否则，财政后补助资金应按企业实际支付给揭榜方的资金总额予以相应扣减。</w:t>
      </w:r>
    </w:p>
    <w:p w14:paraId="0C4DBD28">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需求企业承诺提供的研发经费支出应为立项后、验收前，支出范围应为研发投入支出，</w:t>
      </w:r>
      <w:r>
        <w:rPr>
          <w:rFonts w:hint="eastAsia" w:ascii="仿宋_GB2312" w:hAnsi="仿宋_GB2312" w:eastAsia="仿宋_GB2312" w:cs="仿宋_GB2312"/>
          <w:sz w:val="32"/>
          <w:szCs w:val="32"/>
          <w:lang w:eastAsia="zh-CN"/>
        </w:rPr>
        <w:t>主要包括人员劳务费、原材料费、管理费、仪器设备费，</w:t>
      </w:r>
      <w:r>
        <w:rPr>
          <w:rFonts w:hint="eastAsia" w:ascii="仿宋_GB2312" w:hAnsi="仿宋_GB2312" w:eastAsia="仿宋_GB2312" w:cs="仿宋_GB2312"/>
          <w:sz w:val="32"/>
          <w:szCs w:val="32"/>
        </w:rPr>
        <w:t>不得包括厂房建设、装修等基础设施建设费用，</w:t>
      </w:r>
      <w:r>
        <w:rPr>
          <w:rFonts w:hint="eastAsia" w:ascii="仿宋_GB2312" w:hAnsi="仿宋_GB2312" w:eastAsia="仿宋_GB2312" w:cs="仿宋_GB2312"/>
          <w:sz w:val="32"/>
          <w:szCs w:val="32"/>
          <w:lang w:eastAsia="zh-CN"/>
        </w:rPr>
        <w:t>其支出构成比例要符合国家和省有关规定，</w:t>
      </w:r>
      <w:r>
        <w:rPr>
          <w:rFonts w:hint="eastAsia" w:ascii="仿宋_GB2312" w:hAnsi="仿宋_GB2312" w:eastAsia="仿宋_GB2312" w:cs="仿宋_GB2312"/>
          <w:sz w:val="32"/>
          <w:szCs w:val="32"/>
        </w:rPr>
        <w:t>且支付给揭榜方</w:t>
      </w:r>
      <w:r>
        <w:rPr>
          <w:rFonts w:hint="eastAsia" w:ascii="仿宋_GB2312" w:hAnsi="仿宋_GB2312" w:eastAsia="仿宋_GB2312" w:cs="仿宋_GB2312"/>
          <w:spacing w:val="6"/>
          <w:sz w:val="32"/>
          <w:szCs w:val="32"/>
        </w:rPr>
        <w:t>的研发资金不能以固定资产、产品、技术、货物、服务等形式替代。</w:t>
      </w:r>
    </w:p>
    <w:p w14:paraId="0FE9E245">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b w:val="0"/>
          <w:bCs w:val="0"/>
          <w:color w:val="000000"/>
          <w:kern w:val="0"/>
          <w:sz w:val="32"/>
          <w:szCs w:val="32"/>
          <w:lang w:bidi="ar"/>
        </w:rPr>
        <w:t>产业关键共性技术类：</w:t>
      </w:r>
      <w:r>
        <w:rPr>
          <w:rFonts w:hint="eastAsia" w:ascii="仿宋_GB2312" w:hAnsi="仿宋_GB2312" w:eastAsia="仿宋_GB2312" w:cs="仿宋_GB2312"/>
          <w:sz w:val="32"/>
          <w:szCs w:val="32"/>
        </w:rPr>
        <w:t>以财政资金支持为主，单个项目最高不超过300万元。具体分三个批次拨付：一是三方协议签订生效后拨付财政应补助资金的40%；二是中期评估完成后拨付财政应补助资金的20%；三是项目验收合格后拨付剩余的40%。财政资金应按程序拨付给依托单位，依托单位在收到财政资金的十个工作日内，须将该批次财政资金全额拨付给揭榜方。</w:t>
      </w:r>
    </w:p>
    <w:p w14:paraId="15BFF327">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同时，鼓励支持依托单位（相关需求企业）自筹资金用于该共性技术研发。</w:t>
      </w:r>
    </w:p>
    <w:p w14:paraId="7ECD31F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方正仿宋_GBK" w:hAnsi="方正仿宋_GBK" w:eastAsia="方正仿宋_GBK" w:cs="方正仿宋_GBK"/>
          <w:sz w:val="32"/>
          <w:szCs w:val="32"/>
          <w:u w:val="single"/>
        </w:rPr>
      </w:pPr>
      <w:r>
        <w:rPr>
          <w:rFonts w:hint="eastAsia" w:ascii="方正黑体_GBK" w:hAnsi="方正黑体_GBK" w:eastAsia="方正黑体_GBK" w:cs="方正黑体_GBK"/>
          <w:sz w:val="32"/>
          <w:szCs w:val="32"/>
        </w:rPr>
        <w:t>五、项目管理</w:t>
      </w:r>
    </w:p>
    <w:p w14:paraId="33C8FE4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1.项目管理。</w:t>
      </w:r>
      <w:r>
        <w:rPr>
          <w:rFonts w:hint="eastAsia" w:ascii="仿宋_GB2312" w:hAnsi="仿宋_GB2312" w:eastAsia="仿宋_GB2312" w:cs="仿宋_GB2312"/>
          <w:sz w:val="32"/>
          <w:szCs w:val="32"/>
        </w:rPr>
        <w:t>市科技局会同市财政局等相关单位应加强项目的目标进展、阶段任务、资金使用等管理，组织开展中期评估、项目验收等阶段性工作；需求企业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依托单位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与揭榜方必须在江西省网上常设技术市场完成技术交易合同登记。</w:t>
      </w:r>
    </w:p>
    <w:p w14:paraId="453D5F0F">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2.知识产权。</w:t>
      </w:r>
      <w:r>
        <w:rPr>
          <w:rFonts w:hint="eastAsia" w:ascii="仿宋_GB2312" w:hAnsi="仿宋_GB2312" w:eastAsia="仿宋_GB2312" w:cs="仿宋_GB2312"/>
          <w:sz w:val="32"/>
          <w:szCs w:val="32"/>
        </w:rPr>
        <w:t>企业技术需求类项目与</w:t>
      </w:r>
      <w:r>
        <w:rPr>
          <w:rFonts w:hint="eastAsia" w:ascii="仿宋_GB2312" w:hAnsi="仿宋_GB2312" w:eastAsia="仿宋_GB2312" w:cs="仿宋_GB2312"/>
          <w:sz w:val="32"/>
          <w:szCs w:val="32"/>
          <w:lang w:eastAsia="zh-CN"/>
        </w:rPr>
        <w:t>产业</w:t>
      </w:r>
      <w:r>
        <w:rPr>
          <w:rFonts w:hint="eastAsia" w:ascii="仿宋_GB2312" w:hAnsi="仿宋_GB2312" w:eastAsia="仿宋_GB2312" w:cs="仿宋_GB2312"/>
          <w:sz w:val="32"/>
          <w:szCs w:val="32"/>
        </w:rPr>
        <w:t>关键共性技术类项目取得的知识产权及成果转化所取得的相关权益由委托方、需求企业或协作单位、揭榜方根据协议约定确定各方享有的权益。</w:t>
      </w:r>
    </w:p>
    <w:p w14:paraId="0F38B1F8">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3.严格奖惩。</w:t>
      </w:r>
      <w:r>
        <w:rPr>
          <w:rFonts w:hint="eastAsia" w:ascii="仿宋_GB2312" w:hAnsi="仿宋_GB2312" w:eastAsia="仿宋_GB2312" w:cs="仿宋_GB2312"/>
          <w:kern w:val="2"/>
          <w:sz w:val="32"/>
          <w:szCs w:val="32"/>
          <w:lang w:val="en-US" w:eastAsia="zh-CN" w:bidi="ar-SA"/>
        </w:rPr>
        <w:t>揭榜挂帅项目实施成效好且需持续研究的，可按程序申报，滚动支持资助；效果不好的，应按程序终止实施并追回相关财政资金。</w:t>
      </w:r>
    </w:p>
    <w:p w14:paraId="6A5B9E85">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254DB2CC">
      <w:pPr>
        <w:pStyle w:val="5"/>
        <w:keepNext w:val="0"/>
        <w:keepLines w:val="0"/>
        <w:pageBreakBefore w:val="0"/>
        <w:widowControl w:val="0"/>
        <w:kinsoku/>
        <w:wordWrap/>
        <w:overflowPunct/>
        <w:topLinePunct w:val="0"/>
        <w:autoSpaceDE/>
        <w:autoSpaceDN/>
        <w:bidi w:val="0"/>
        <w:spacing w:line="560" w:lineRule="exact"/>
        <w:jc w:val="center"/>
        <w:textAlignment w:val="auto"/>
        <w:rPr>
          <w:rFonts w:hint="default" w:ascii="方正小标宋简体" w:hAnsi="方正小标宋简体" w:eastAsia="方正小标宋简体" w:cs="方正小标宋简体"/>
          <w:color w:val="000000"/>
          <w:sz w:val="44"/>
          <w:szCs w:val="44"/>
          <w:lang w:val="en-US" w:eastAsia="zh-CN"/>
        </w:rPr>
      </w:pPr>
    </w:p>
    <w:p w14:paraId="22E231BB"/>
    <w:sectPr>
      <w:footerReference r:id="rId3" w:type="default"/>
      <w:pgSz w:w="11906" w:h="16838"/>
      <w:pgMar w:top="1440" w:right="1800" w:bottom="1440"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D009002-809C-479C-B139-34FC3569846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2BAD53D-6292-490F-8A38-A8660AA01C31}"/>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38795D41-603C-4DA4-9A16-C0C0F9628EC7}"/>
  </w:font>
  <w:font w:name="华文仿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A00002BF" w:usb1="38CF7CFA" w:usb2="00082016" w:usb3="00000000" w:csb0="00040001" w:csb1="00000000"/>
    <w:embedRegular r:id="rId4" w:fontKey="{4589774F-E096-4655-8BEA-6FE0A013E088}"/>
  </w:font>
  <w:font w:name="方正黑体_GBK">
    <w:panose1 w:val="02010600010101010101"/>
    <w:charset w:val="86"/>
    <w:family w:val="auto"/>
    <w:pitch w:val="default"/>
    <w:sig w:usb0="00000001" w:usb1="080E0000" w:usb2="00000000" w:usb3="00000000" w:csb0="00040000" w:csb1="00000000"/>
    <w:embedRegular r:id="rId5" w:fontKey="{CF66CE4C-3B3A-4B1B-B777-4C341900A371}"/>
  </w:font>
  <w:font w:name="方正小标宋简体">
    <w:panose1 w:val="02010600010101010101"/>
    <w:charset w:val="86"/>
    <w:family w:val="auto"/>
    <w:pitch w:val="default"/>
    <w:sig w:usb0="00000001" w:usb1="080E0000" w:usb2="00000000" w:usb3="00000000" w:csb0="00040000" w:csb1="00000000"/>
    <w:embedRegular r:id="rId6" w:fontKey="{7B6CCBC1-324A-4308-9D5E-A5737764A8B2}"/>
  </w:font>
  <w:font w:name="楷体_GB2312">
    <w:altName w:val="楷体"/>
    <w:panose1 w:val="02010609030101010101"/>
    <w:charset w:val="86"/>
    <w:family w:val="auto"/>
    <w:pitch w:val="default"/>
    <w:sig w:usb0="00000000" w:usb1="00000000" w:usb2="00000000" w:usb3="00000000" w:csb0="00040000" w:csb1="00000000"/>
    <w:embedRegular r:id="rId7" w:fontKey="{B7E2E53C-5FCF-41D4-B835-5FDCC97890AE}"/>
  </w:font>
  <w:font w:name="楷体">
    <w:panose1 w:val="02010609060101010101"/>
    <w:charset w:val="86"/>
    <w:family w:val="auto"/>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D9FB5">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78D6AD">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A78D6AD">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B5C2D"/>
    <w:rsid w:val="01C465CA"/>
    <w:rsid w:val="028332A9"/>
    <w:rsid w:val="67056649"/>
    <w:rsid w:val="70EB5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cs="Times New Roman"/>
      <w:b/>
      <w:sz w:val="32"/>
    </w:rPr>
  </w:style>
  <w:style w:type="paragraph" w:styleId="2">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cs="Times New Roman"/>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rPr>
      <w:rFonts w:ascii="Calibri" w:hAnsi="Calibri" w:eastAsia="宋体" w:cs="Times New Roman"/>
    </w:rPr>
  </w:style>
  <w:style w:type="paragraph" w:styleId="5">
    <w:name w:val="Plain Text"/>
    <w:qFormat/>
    <w:uiPriority w:val="99"/>
    <w:pPr>
      <w:widowControl w:val="0"/>
      <w:jc w:val="both"/>
    </w:pPr>
    <w:rPr>
      <w:rFonts w:ascii="Times New Roman" w:hAnsi="Courier New" w:eastAsia="仿宋_GB2312" w:cs="Times New Roman"/>
      <w:szCs w:val="21"/>
      <w:lang w:val="en-US" w:eastAsia="zh-CN" w:bidi="ar-SA"/>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Normal (Web)"/>
    <w:basedOn w:val="1"/>
    <w:qFormat/>
    <w:uiPriority w:val="99"/>
    <w:pPr>
      <w:jc w:val="left"/>
      <w:textAlignment w:val="baseline"/>
    </w:pPr>
    <w:rPr>
      <w:kern w:val="0"/>
      <w:sz w:val="24"/>
      <w:szCs w:val="24"/>
    </w:r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2026-02-10T08:31:00Z</dcterms:created>
  <dc:creator>美人师兄</dc:creator>
  <cp:lastModifiedBy>美人师兄</cp:lastModifiedBy>
  <dcterms:modified xsi:type="dcterms:W3CDTF">2026-02-10T08:32:55Z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8A0C82D7091C4FC9B29FC863C13B3224_11</vt:lpwstr>
  </property>
  <property fmtid="{D5CDD505-2E9C-101B-9397-08002B2CF9AE}" pid="4" name="KSOTemplateDocerSaveRecord">
    <vt:lpwstr>eyJoZGlkIjoiMjRhYzkyNzgwZTE4YTRhYjQ3OWJkOGM4NzczMGY5NGEiLCJ1c2VySWQiOiI0ODcyMDMxMzcifQ==</vt:lpwstr>
  </property>
</Properties>
</file>